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cs="黑体"/>
          <w:kern w:val="0"/>
          <w:sz w:val="36"/>
          <w:szCs w:val="36"/>
        </w:rPr>
      </w:pPr>
      <w:r>
        <w:rPr>
          <w:rFonts w:hint="eastAsia" w:ascii="黑体" w:hAnsi="黑体" w:eastAsia="黑体" w:cs="黑体"/>
          <w:kern w:val="0"/>
          <w:sz w:val="36"/>
          <w:szCs w:val="36"/>
        </w:rPr>
        <w:t>广西有色金属及特色材料加工重点实验室</w:t>
      </w:r>
    </w:p>
    <w:p>
      <w:pPr>
        <w:widowControl/>
        <w:spacing w:line="360" w:lineRule="auto"/>
        <w:jc w:val="center"/>
        <w:rPr>
          <w:rFonts w:ascii="黑体" w:hAnsi="黑体" w:eastAsia="黑体" w:cs="黑体"/>
          <w:kern w:val="0"/>
          <w:sz w:val="36"/>
          <w:szCs w:val="36"/>
        </w:rPr>
      </w:pPr>
      <w:r>
        <w:rPr>
          <w:rFonts w:hint="eastAsia" w:ascii="黑体" w:hAnsi="黑体" w:eastAsia="黑体" w:cs="黑体"/>
          <w:kern w:val="0"/>
          <w:sz w:val="36"/>
          <w:szCs w:val="36"/>
        </w:rPr>
        <w:t>2022年度开放基金项目申请指南</w:t>
      </w:r>
    </w:p>
    <w:p>
      <w:pPr>
        <w:spacing w:before="312" w:beforeLines="100" w:line="360" w:lineRule="auto"/>
        <w:ind w:firstLine="480" w:firstLineChars="200"/>
        <w:rPr>
          <w:rFonts w:eastAsia="仿宋"/>
          <w:sz w:val="24"/>
          <w:szCs w:val="24"/>
        </w:rPr>
      </w:pPr>
      <w:r>
        <w:rPr>
          <w:rFonts w:eastAsia="仿宋"/>
          <w:sz w:val="24"/>
          <w:szCs w:val="24"/>
        </w:rPr>
        <w:t>广西有色金属及特色材料加工重点实验室于2003年经教育部批准建设有色金属及材料加工新技术省部共建教育部重点实验室</w:t>
      </w:r>
      <w:r>
        <w:rPr>
          <w:rFonts w:hint="eastAsia" w:eastAsia="仿宋"/>
          <w:sz w:val="24"/>
          <w:szCs w:val="24"/>
        </w:rPr>
        <w:t>，</w:t>
      </w:r>
      <w:r>
        <w:rPr>
          <w:rFonts w:eastAsia="仿宋"/>
          <w:sz w:val="24"/>
          <w:szCs w:val="24"/>
        </w:rPr>
        <w:t>2010年经科技部批准建设省部共建国家重点实验室培育基地，并于2017年12月认定为广西壮族自治区首批重大科技创新基地。</w:t>
      </w:r>
    </w:p>
    <w:p>
      <w:pPr>
        <w:spacing w:line="360" w:lineRule="auto"/>
        <w:ind w:firstLine="480" w:firstLineChars="200"/>
        <w:rPr>
          <w:rFonts w:eastAsia="仿宋"/>
          <w:sz w:val="24"/>
          <w:szCs w:val="24"/>
        </w:rPr>
      </w:pPr>
      <w:r>
        <w:rPr>
          <w:rFonts w:hint="eastAsia" w:eastAsia="仿宋"/>
          <w:sz w:val="24"/>
          <w:szCs w:val="24"/>
        </w:rPr>
        <w:t>重点实验室立足于广西优势特色金属资源（铝、锰、稀土、铟、镓等），瞄准资源高水平利用和材料科学发展前沿，聚集特色金属资源绿色开发与综合利用、先进铝合金设计加工与智能制造、特色金属基光电新能源等功能材料及应用等研究方向，开展基础研究与应用基础研究。</w:t>
      </w:r>
    </w:p>
    <w:p>
      <w:pPr>
        <w:spacing w:line="360" w:lineRule="auto"/>
        <w:ind w:firstLine="480" w:firstLineChars="200"/>
        <w:rPr>
          <w:rFonts w:eastAsia="仿宋"/>
          <w:sz w:val="24"/>
          <w:szCs w:val="24"/>
        </w:rPr>
      </w:pPr>
      <w:r>
        <w:rPr>
          <w:rFonts w:hint="eastAsia" w:eastAsia="仿宋"/>
          <w:sz w:val="24"/>
          <w:szCs w:val="24"/>
        </w:rPr>
        <w:t>实验室本着“开放、流动、联合、竞争”的运行机制，为进一步加强和促进实验室学术交流、科研合作和科技辐射的带动作用，特设立开放课题项目，支持与本实验室主要研究方向相关的研究项目，欢迎国内外符合条件的科技工作者来实验室进行客座或合作研究。</w:t>
      </w:r>
    </w:p>
    <w:p>
      <w:pPr>
        <w:spacing w:line="360" w:lineRule="auto"/>
        <w:ind w:firstLine="562" w:firstLineChars="200"/>
        <w:rPr>
          <w:rFonts w:eastAsia="仿宋"/>
          <w:b/>
          <w:sz w:val="28"/>
          <w:szCs w:val="28"/>
        </w:rPr>
      </w:pPr>
      <w:r>
        <w:rPr>
          <w:rFonts w:hint="eastAsia" w:eastAsia="仿宋"/>
          <w:b/>
          <w:sz w:val="28"/>
          <w:szCs w:val="28"/>
        </w:rPr>
        <w:t>一</w:t>
      </w:r>
      <w:r>
        <w:rPr>
          <w:rFonts w:eastAsia="仿宋"/>
          <w:b/>
          <w:sz w:val="28"/>
          <w:szCs w:val="28"/>
        </w:rPr>
        <w:t>、</w:t>
      </w:r>
      <w:r>
        <w:rPr>
          <w:rFonts w:hint="eastAsia" w:eastAsia="仿宋"/>
          <w:b/>
          <w:sz w:val="28"/>
          <w:szCs w:val="28"/>
        </w:rPr>
        <w:t>主要资助方向</w:t>
      </w:r>
    </w:p>
    <w:p>
      <w:pPr>
        <w:spacing w:line="360" w:lineRule="auto"/>
        <w:ind w:firstLine="482" w:firstLineChars="200"/>
        <w:rPr>
          <w:rFonts w:eastAsia="仿宋" w:cs="仿宋"/>
          <w:b/>
          <w:sz w:val="24"/>
          <w:szCs w:val="24"/>
          <w:lang w:bidi="ar"/>
        </w:rPr>
      </w:pPr>
      <w:r>
        <w:rPr>
          <w:rFonts w:eastAsia="仿宋"/>
          <w:b/>
          <w:sz w:val="24"/>
          <w:szCs w:val="24"/>
          <w:lang w:bidi="ar"/>
        </w:rPr>
        <w:t>1</w:t>
      </w:r>
      <w:r>
        <w:rPr>
          <w:rFonts w:hint="eastAsia" w:eastAsia="仿宋" w:cs="仿宋"/>
          <w:b/>
          <w:sz w:val="24"/>
          <w:szCs w:val="24"/>
          <w:lang w:bidi="ar"/>
        </w:rPr>
        <w:t>．特色金属资源绿色开发与综合利用</w:t>
      </w:r>
    </w:p>
    <w:p>
      <w:pPr>
        <w:spacing w:line="360" w:lineRule="auto"/>
        <w:ind w:firstLine="480" w:firstLineChars="200"/>
        <w:rPr>
          <w:rFonts w:eastAsia="仿宋" w:cs="仿宋"/>
          <w:sz w:val="24"/>
          <w:szCs w:val="24"/>
          <w:lang w:bidi="ar"/>
        </w:rPr>
      </w:pPr>
      <w:r>
        <w:rPr>
          <w:rFonts w:hint="eastAsia" w:eastAsia="仿宋" w:cs="仿宋"/>
          <w:sz w:val="24"/>
          <w:szCs w:val="24"/>
          <w:lang w:bidi="ar"/>
        </w:rPr>
        <w:t>（1）共伴生金属资源的高效分离提纯</w:t>
      </w:r>
    </w:p>
    <w:p>
      <w:pPr>
        <w:spacing w:line="360" w:lineRule="auto"/>
        <w:ind w:firstLine="480" w:firstLineChars="200"/>
        <w:rPr>
          <w:rFonts w:eastAsia="仿宋" w:cs="仿宋"/>
          <w:sz w:val="24"/>
          <w:szCs w:val="24"/>
          <w:lang w:bidi="ar"/>
        </w:rPr>
      </w:pPr>
      <w:r>
        <w:rPr>
          <w:rFonts w:hint="eastAsia" w:eastAsia="仿宋" w:cs="仿宋"/>
          <w:sz w:val="24"/>
          <w:szCs w:val="24"/>
          <w:lang w:bidi="ar"/>
        </w:rPr>
        <w:t>（2）铝产业固废绿色资源化利用</w:t>
      </w:r>
    </w:p>
    <w:p>
      <w:pPr>
        <w:spacing w:line="360" w:lineRule="auto"/>
        <w:ind w:firstLine="480" w:firstLineChars="200"/>
        <w:rPr>
          <w:rFonts w:eastAsia="仿宋" w:cs="仿宋"/>
          <w:sz w:val="24"/>
          <w:szCs w:val="24"/>
          <w:lang w:bidi="ar"/>
        </w:rPr>
      </w:pPr>
      <w:r>
        <w:rPr>
          <w:rFonts w:hint="eastAsia" w:eastAsia="仿宋" w:cs="仿宋"/>
          <w:sz w:val="24"/>
          <w:szCs w:val="24"/>
          <w:lang w:bidi="ar"/>
        </w:rPr>
        <w:t>（3）特色金属矿物资源的绿色分选等</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（4）材料加工处理中的环境问题等</w:t>
      </w:r>
    </w:p>
    <w:p>
      <w:pPr>
        <w:spacing w:line="360" w:lineRule="auto"/>
        <w:ind w:firstLine="482" w:firstLineChars="200"/>
        <w:rPr>
          <w:rFonts w:eastAsia="仿宋" w:cs="仿宋"/>
          <w:b/>
          <w:sz w:val="24"/>
          <w:szCs w:val="24"/>
          <w:lang w:bidi="ar"/>
        </w:rPr>
      </w:pPr>
      <w:r>
        <w:rPr>
          <w:rFonts w:hint="eastAsia" w:eastAsia="仿宋" w:cs="仿宋"/>
          <w:b/>
          <w:sz w:val="24"/>
          <w:szCs w:val="24"/>
          <w:lang w:bidi="ar"/>
        </w:rPr>
        <w:t>2.</w:t>
      </w:r>
      <w:r>
        <w:rPr>
          <w:rFonts w:hint="eastAsia" w:eastAsia="仿宋" w:cs="仿宋"/>
          <w:b/>
          <w:sz w:val="24"/>
          <w:szCs w:val="24"/>
          <w:lang w:bidi="ar"/>
        </w:rPr>
        <w:tab/>
      </w:r>
      <w:r>
        <w:rPr>
          <w:rFonts w:hint="eastAsia" w:eastAsia="仿宋" w:cs="仿宋"/>
          <w:b/>
          <w:sz w:val="24"/>
          <w:szCs w:val="24"/>
          <w:lang w:bidi="ar"/>
        </w:rPr>
        <w:t>先进铝合金设计加工与智能制造</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（1）铝合金相图及新材料设计</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（2）高性能铝合金先进加工技术</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（3）铝合金智能制造与控制关键技术等</w:t>
      </w:r>
    </w:p>
    <w:p>
      <w:pPr>
        <w:spacing w:line="360" w:lineRule="auto"/>
        <w:ind w:firstLine="482" w:firstLineChars="200"/>
        <w:rPr>
          <w:rFonts w:eastAsia="仿宋" w:cs="仿宋"/>
          <w:b/>
          <w:sz w:val="24"/>
          <w:szCs w:val="24"/>
          <w:lang w:bidi="ar"/>
        </w:rPr>
      </w:pPr>
      <w:r>
        <w:rPr>
          <w:rFonts w:hint="eastAsia" w:eastAsia="仿宋" w:cs="仿宋"/>
          <w:b/>
          <w:bCs/>
          <w:sz w:val="24"/>
          <w:szCs w:val="24"/>
          <w:lang w:bidi="ar"/>
        </w:rPr>
        <w:t>3、</w:t>
      </w:r>
      <w:r>
        <w:rPr>
          <w:rFonts w:hint="eastAsia" w:eastAsia="仿宋" w:cs="仿宋"/>
          <w:b/>
          <w:sz w:val="24"/>
          <w:szCs w:val="24"/>
          <w:lang w:bidi="ar"/>
        </w:rPr>
        <w:t>特色金属基光电新能源等功能材料及应用</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（1）铝\镓\锰基发光材料与器件</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（2）镓铟基光电薄膜材料与器件</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（3）有色金属基新能源材料</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（4）有色金属基磁性材料、热电材料、催化吸附材料</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（5）二维材料（包括石墨烯）</w:t>
      </w:r>
    </w:p>
    <w:p>
      <w:pPr>
        <w:tabs>
          <w:tab w:val="left" w:pos="1440"/>
        </w:tabs>
        <w:spacing w:line="360" w:lineRule="auto"/>
        <w:ind w:firstLine="480" w:firstLineChars="200"/>
        <w:rPr>
          <w:rFonts w:eastAsia="仿宋" w:cs="仿宋"/>
          <w:sz w:val="24"/>
          <w:szCs w:val="24"/>
          <w:lang w:bidi="ar"/>
        </w:rPr>
      </w:pPr>
      <w:r>
        <w:rPr>
          <w:rFonts w:hint="eastAsia" w:eastAsia="仿宋" w:cs="仿宋"/>
          <w:sz w:val="24"/>
          <w:szCs w:val="24"/>
          <w:lang w:bidi="ar"/>
        </w:rPr>
        <w:t>（6）有色金属基催化吸附材料</w:t>
      </w:r>
    </w:p>
    <w:p>
      <w:pPr>
        <w:spacing w:line="360" w:lineRule="auto"/>
        <w:ind w:firstLine="562" w:firstLineChars="200"/>
        <w:rPr>
          <w:rFonts w:eastAsia="仿宋"/>
          <w:b/>
          <w:sz w:val="28"/>
          <w:szCs w:val="28"/>
        </w:rPr>
      </w:pPr>
      <w:r>
        <w:rPr>
          <w:rFonts w:hint="eastAsia" w:eastAsia="仿宋"/>
          <w:b/>
          <w:sz w:val="28"/>
          <w:szCs w:val="28"/>
        </w:rPr>
        <w:t>二、申请须知</w:t>
      </w:r>
    </w:p>
    <w:p>
      <w:pPr>
        <w:spacing w:line="360" w:lineRule="auto"/>
        <w:ind w:firstLine="480" w:firstLineChars="200"/>
        <w:rPr>
          <w:rFonts w:eastAsia="仿宋"/>
          <w:sz w:val="24"/>
          <w:szCs w:val="24"/>
        </w:rPr>
      </w:pPr>
      <w:r>
        <w:rPr>
          <w:rFonts w:eastAsia="仿宋"/>
          <w:sz w:val="24"/>
          <w:szCs w:val="24"/>
        </w:rPr>
        <w:t>1．国内外各高等院校、科研机构、产业部门和其它单位的科技工作者均可在计划指南范围内提出课题申请，并经所在单位同意</w:t>
      </w:r>
      <w:r>
        <w:rPr>
          <w:rFonts w:hint="eastAsia" w:eastAsia="仿宋"/>
          <w:sz w:val="24"/>
          <w:szCs w:val="24"/>
        </w:rPr>
        <w:t>；</w:t>
      </w:r>
      <w:r>
        <w:rPr>
          <w:rFonts w:hint="eastAsia" w:eastAsia="仿宋"/>
          <w:b/>
          <w:sz w:val="24"/>
          <w:szCs w:val="24"/>
        </w:rPr>
        <w:t>依托单位人员原则上不予支持</w:t>
      </w:r>
      <w:r>
        <w:rPr>
          <w:rFonts w:hint="eastAsia" w:eastAsia="仿宋"/>
          <w:sz w:val="24"/>
          <w:szCs w:val="24"/>
        </w:rPr>
        <w:t>。</w:t>
      </w:r>
    </w:p>
    <w:p>
      <w:pPr>
        <w:spacing w:line="360" w:lineRule="auto"/>
        <w:ind w:firstLine="480" w:firstLineChars="200"/>
        <w:rPr>
          <w:rFonts w:eastAsia="仿宋"/>
          <w:sz w:val="24"/>
          <w:szCs w:val="24"/>
        </w:rPr>
      </w:pPr>
      <w:r>
        <w:rPr>
          <w:rFonts w:hint="eastAsia" w:eastAsia="仿宋"/>
          <w:sz w:val="24"/>
          <w:szCs w:val="24"/>
        </w:rPr>
        <w:t>2. 申请人需具有博士学位或副高级以上(含副高级)的专业技术职称，在所申请的领域内具有相当的理论和技术积累。</w:t>
      </w:r>
    </w:p>
    <w:p>
      <w:pPr>
        <w:spacing w:line="360" w:lineRule="auto"/>
        <w:ind w:firstLine="480" w:firstLineChars="200"/>
        <w:rPr>
          <w:rFonts w:eastAsia="仿宋"/>
          <w:sz w:val="24"/>
          <w:szCs w:val="24"/>
        </w:rPr>
      </w:pPr>
      <w:r>
        <w:rPr>
          <w:rFonts w:hint="eastAsia" w:eastAsia="仿宋"/>
          <w:sz w:val="24"/>
          <w:szCs w:val="24"/>
        </w:rPr>
        <w:t>3</w:t>
      </w:r>
      <w:r>
        <w:rPr>
          <w:rFonts w:eastAsia="仿宋"/>
          <w:sz w:val="24"/>
          <w:szCs w:val="24"/>
        </w:rPr>
        <w:t>．</w:t>
      </w:r>
      <w:r>
        <w:rPr>
          <w:rFonts w:eastAsia="仿宋"/>
          <w:b/>
          <w:bCs/>
          <w:sz w:val="24"/>
          <w:szCs w:val="24"/>
        </w:rPr>
        <w:t>每个申请项目需要指定一位</w:t>
      </w:r>
      <w:r>
        <w:rPr>
          <w:rFonts w:hint="eastAsia" w:eastAsia="仿宋"/>
          <w:b/>
          <w:bCs/>
          <w:sz w:val="24"/>
          <w:szCs w:val="24"/>
        </w:rPr>
        <w:t>研究领域为材料或材料加工领域的广西大学在职科研人员作为</w:t>
      </w:r>
      <w:r>
        <w:rPr>
          <w:rFonts w:eastAsia="仿宋"/>
          <w:b/>
          <w:bCs/>
          <w:sz w:val="24"/>
          <w:szCs w:val="24"/>
        </w:rPr>
        <w:t>合作人</w:t>
      </w:r>
      <w:r>
        <w:rPr>
          <w:rFonts w:hint="eastAsia" w:eastAsia="仿宋"/>
          <w:b/>
          <w:bCs/>
          <w:sz w:val="24"/>
          <w:szCs w:val="24"/>
        </w:rPr>
        <w:t>员</w:t>
      </w:r>
      <w:r>
        <w:rPr>
          <w:rFonts w:eastAsia="仿宋"/>
          <w:b/>
          <w:bCs/>
          <w:sz w:val="24"/>
          <w:szCs w:val="24"/>
        </w:rPr>
        <w:t>（</w:t>
      </w:r>
      <w:r>
        <w:rPr>
          <w:rFonts w:hint="eastAsia" w:eastAsia="仿宋"/>
          <w:b/>
          <w:bCs/>
          <w:sz w:val="24"/>
          <w:szCs w:val="24"/>
        </w:rPr>
        <w:t>同时也为本室项目</w:t>
      </w:r>
      <w:r>
        <w:rPr>
          <w:rFonts w:eastAsia="仿宋"/>
          <w:b/>
          <w:bCs/>
          <w:sz w:val="24"/>
          <w:szCs w:val="24"/>
        </w:rPr>
        <w:t>联系人）。</w:t>
      </w:r>
      <w:r>
        <w:rPr>
          <w:rFonts w:hint="eastAsia" w:eastAsia="仿宋"/>
          <w:sz w:val="24"/>
          <w:szCs w:val="24"/>
        </w:rPr>
        <w:t>申请人须预先确定一名本实验室研究人员为项目合作人员，并征得本室合作人员同意；鼓励本室研究人员联系校外科研人员依据本指南申请开放课题。</w:t>
      </w:r>
    </w:p>
    <w:p>
      <w:pPr>
        <w:spacing w:line="360" w:lineRule="auto"/>
        <w:ind w:firstLine="480" w:firstLineChars="200"/>
        <w:rPr>
          <w:rFonts w:eastAsia="仿宋"/>
          <w:sz w:val="24"/>
          <w:szCs w:val="24"/>
        </w:rPr>
      </w:pPr>
      <w:r>
        <w:rPr>
          <w:rFonts w:hint="eastAsia" w:eastAsia="仿宋"/>
          <w:sz w:val="24"/>
          <w:szCs w:val="24"/>
        </w:rPr>
        <w:t>4. 本校材料或材料加工领域科研人员作为项目合作人员，同时参与的开放课题数目（含往年参与开放课题）不多于2项。本室合作人员需切实督促申请人依据项目合同书开展工作，并按时申请结题验收。</w:t>
      </w:r>
    </w:p>
    <w:p>
      <w:pPr>
        <w:spacing w:line="360" w:lineRule="auto"/>
        <w:ind w:firstLine="480" w:firstLineChars="200"/>
        <w:rPr>
          <w:rFonts w:eastAsia="仿宋"/>
          <w:sz w:val="24"/>
          <w:szCs w:val="24"/>
        </w:rPr>
      </w:pPr>
      <w:r>
        <w:rPr>
          <w:rFonts w:hint="eastAsia" w:eastAsia="仿宋"/>
          <w:sz w:val="24"/>
          <w:szCs w:val="24"/>
        </w:rPr>
        <w:t>5. 尚有往年开放课题未结题人员或结题不通过人员，不得申请本年度开放课题。</w:t>
      </w:r>
    </w:p>
    <w:p>
      <w:pPr>
        <w:spacing w:line="360" w:lineRule="auto"/>
        <w:ind w:firstLine="562" w:firstLineChars="200"/>
        <w:rPr>
          <w:rFonts w:eastAsia="仿宋"/>
          <w:b/>
          <w:sz w:val="28"/>
          <w:szCs w:val="28"/>
        </w:rPr>
      </w:pPr>
      <w:r>
        <w:rPr>
          <w:rFonts w:eastAsia="仿宋"/>
          <w:b/>
          <w:sz w:val="28"/>
          <w:szCs w:val="28"/>
        </w:rPr>
        <w:t>三、申请程序</w:t>
      </w:r>
    </w:p>
    <w:p>
      <w:pPr>
        <w:spacing w:line="360" w:lineRule="auto"/>
        <w:ind w:firstLine="480" w:firstLineChars="200"/>
        <w:rPr>
          <w:rFonts w:eastAsia="仿宋"/>
          <w:sz w:val="24"/>
          <w:szCs w:val="24"/>
        </w:rPr>
      </w:pPr>
      <w:r>
        <w:rPr>
          <w:rFonts w:hint="eastAsia" w:eastAsia="仿宋"/>
          <w:sz w:val="24"/>
          <w:szCs w:val="24"/>
        </w:rPr>
        <w:t>1</w:t>
      </w:r>
      <w:r>
        <w:rPr>
          <w:rFonts w:eastAsia="仿宋"/>
          <w:sz w:val="24"/>
          <w:szCs w:val="24"/>
        </w:rPr>
        <w:t>．按</w:t>
      </w:r>
      <w:r>
        <w:rPr>
          <w:rFonts w:hint="eastAsia" w:eastAsia="仿宋"/>
          <w:sz w:val="24"/>
          <w:szCs w:val="24"/>
        </w:rPr>
        <w:t>申请书模板（见附件）</w:t>
      </w:r>
      <w:r>
        <w:rPr>
          <w:rFonts w:eastAsia="仿宋"/>
          <w:sz w:val="24"/>
          <w:szCs w:val="24"/>
        </w:rPr>
        <w:t>规定格式填写开放课题基金申请书，并经所在单位</w:t>
      </w:r>
      <w:r>
        <w:rPr>
          <w:rFonts w:hint="eastAsia" w:eastAsia="仿宋"/>
          <w:sz w:val="24"/>
          <w:szCs w:val="24"/>
        </w:rPr>
        <w:t>（科技处或相关科技管理部门）</w:t>
      </w:r>
      <w:r>
        <w:rPr>
          <w:rFonts w:eastAsia="仿宋"/>
          <w:sz w:val="24"/>
          <w:szCs w:val="24"/>
        </w:rPr>
        <w:t>同意签字盖章后，于202</w:t>
      </w:r>
      <w:r>
        <w:rPr>
          <w:rFonts w:hint="eastAsia" w:eastAsia="仿宋"/>
          <w:sz w:val="24"/>
          <w:szCs w:val="24"/>
        </w:rPr>
        <w:t>2</w:t>
      </w:r>
      <w:r>
        <w:rPr>
          <w:rFonts w:eastAsia="仿宋"/>
          <w:sz w:val="24"/>
          <w:szCs w:val="24"/>
        </w:rPr>
        <w:t>年</w:t>
      </w:r>
      <w:r>
        <w:rPr>
          <w:rFonts w:hint="eastAsia" w:eastAsia="仿宋"/>
          <w:sz w:val="24"/>
          <w:szCs w:val="24"/>
        </w:rPr>
        <w:t>5</w:t>
      </w:r>
      <w:r>
        <w:rPr>
          <w:rFonts w:eastAsia="仿宋"/>
          <w:sz w:val="24"/>
          <w:szCs w:val="24"/>
        </w:rPr>
        <w:t>月</w:t>
      </w:r>
      <w:r>
        <w:rPr>
          <w:rFonts w:hint="eastAsia" w:eastAsia="仿宋"/>
          <w:sz w:val="24"/>
          <w:szCs w:val="24"/>
        </w:rPr>
        <w:t>15</w:t>
      </w:r>
      <w:r>
        <w:rPr>
          <w:rFonts w:eastAsia="仿宋"/>
          <w:sz w:val="24"/>
          <w:szCs w:val="24"/>
        </w:rPr>
        <w:t>日前一式三份寄送</w:t>
      </w:r>
      <w:r>
        <w:rPr>
          <w:rFonts w:hint="eastAsia" w:eastAsia="仿宋"/>
          <w:sz w:val="24"/>
          <w:szCs w:val="24"/>
        </w:rPr>
        <w:t>本室项目</w:t>
      </w:r>
      <w:r>
        <w:rPr>
          <w:rFonts w:eastAsia="仿宋"/>
          <w:sz w:val="24"/>
          <w:szCs w:val="24"/>
        </w:rPr>
        <w:t>联系人</w:t>
      </w:r>
      <w:r>
        <w:rPr>
          <w:rFonts w:hint="eastAsia" w:eastAsia="仿宋"/>
          <w:sz w:val="24"/>
          <w:szCs w:val="24"/>
        </w:rPr>
        <w:t>（即本室项目参与人）</w:t>
      </w:r>
      <w:r>
        <w:rPr>
          <w:rFonts w:eastAsia="仿宋"/>
          <w:sz w:val="24"/>
          <w:szCs w:val="24"/>
        </w:rPr>
        <w:t>，同时发送电子版本至实验室</w:t>
      </w:r>
      <w:r>
        <w:rPr>
          <w:rFonts w:hint="eastAsia" w:eastAsia="仿宋"/>
          <w:sz w:val="24"/>
          <w:szCs w:val="24"/>
        </w:rPr>
        <w:t>电子邮箱（klmp@gxu.edu.cn），邮件标题为：</w:t>
      </w:r>
      <w:r>
        <w:rPr>
          <w:rFonts w:hint="eastAsia" w:eastAsia="仿宋"/>
          <w:b/>
          <w:sz w:val="24"/>
          <w:szCs w:val="24"/>
        </w:rPr>
        <w:t>2022年度有色金属重点实验室开放课题申请书-单位+姓名</w:t>
      </w:r>
      <w:r>
        <w:rPr>
          <w:rFonts w:eastAsia="仿宋"/>
          <w:sz w:val="24"/>
          <w:szCs w:val="24"/>
        </w:rPr>
        <w:t>。</w:t>
      </w:r>
    </w:p>
    <w:p>
      <w:pPr>
        <w:spacing w:line="360" w:lineRule="auto"/>
        <w:ind w:firstLine="480" w:firstLineChars="200"/>
        <w:rPr>
          <w:rFonts w:eastAsia="仿宋"/>
          <w:sz w:val="24"/>
          <w:szCs w:val="24"/>
        </w:rPr>
      </w:pPr>
      <w:r>
        <w:rPr>
          <w:rFonts w:hint="eastAsia" w:eastAsia="仿宋"/>
          <w:sz w:val="24"/>
          <w:szCs w:val="24"/>
        </w:rPr>
        <w:t>2</w:t>
      </w:r>
      <w:r>
        <w:rPr>
          <w:rFonts w:eastAsia="仿宋"/>
          <w:sz w:val="24"/>
          <w:szCs w:val="24"/>
        </w:rPr>
        <w:t>．实验室学术委员将根据项目的意义、学术价值和创新情况，结合本实验室的研究方向，对申请书进行评审，择优确定开放课题项目。获批项目由本实验室学术委员会主任及实验室主任签署批准意见后通知申请者。</w:t>
      </w:r>
    </w:p>
    <w:p>
      <w:pPr>
        <w:spacing w:line="360" w:lineRule="auto"/>
        <w:ind w:firstLine="480" w:firstLineChars="200"/>
        <w:rPr>
          <w:rFonts w:eastAsia="仿宋"/>
          <w:sz w:val="24"/>
          <w:szCs w:val="24"/>
        </w:rPr>
      </w:pPr>
      <w:r>
        <w:rPr>
          <w:rFonts w:hint="eastAsia" w:eastAsia="仿宋"/>
          <w:sz w:val="24"/>
          <w:szCs w:val="24"/>
        </w:rPr>
        <w:t>3</w:t>
      </w:r>
      <w:r>
        <w:rPr>
          <w:rFonts w:eastAsia="仿宋"/>
          <w:sz w:val="24"/>
          <w:szCs w:val="24"/>
        </w:rPr>
        <w:t>．获批开放课题项目申请者须与本实验室签订课题计划任务合同书，并将填报好的课题计划任务合同书后及时寄回，由实验室主任复核后正式执行。</w:t>
      </w:r>
    </w:p>
    <w:p>
      <w:pPr>
        <w:spacing w:line="360" w:lineRule="auto"/>
        <w:ind w:firstLine="480" w:firstLineChars="200"/>
        <w:rPr>
          <w:rFonts w:eastAsia="仿宋"/>
          <w:sz w:val="24"/>
          <w:szCs w:val="24"/>
        </w:rPr>
      </w:pPr>
      <w:r>
        <w:rPr>
          <w:rFonts w:hint="eastAsia" w:eastAsia="仿宋"/>
          <w:sz w:val="24"/>
          <w:szCs w:val="24"/>
        </w:rPr>
        <w:t>4</w:t>
      </w:r>
      <w:r>
        <w:rPr>
          <w:rFonts w:eastAsia="仿宋"/>
          <w:sz w:val="24"/>
          <w:szCs w:val="24"/>
        </w:rPr>
        <w:t>．</w:t>
      </w:r>
      <w:r>
        <w:rPr>
          <w:rFonts w:eastAsia="仿宋"/>
          <w:b/>
          <w:bCs/>
          <w:sz w:val="24"/>
          <w:szCs w:val="24"/>
        </w:rPr>
        <w:t>项目批准年限为</w:t>
      </w:r>
      <w:r>
        <w:rPr>
          <w:rFonts w:hint="eastAsia" w:eastAsia="仿宋"/>
          <w:b/>
          <w:bCs/>
          <w:sz w:val="24"/>
          <w:szCs w:val="24"/>
        </w:rPr>
        <w:t>2</w:t>
      </w:r>
      <w:r>
        <w:rPr>
          <w:rFonts w:eastAsia="仿宋"/>
          <w:b/>
          <w:bCs/>
          <w:sz w:val="24"/>
          <w:szCs w:val="24"/>
        </w:rPr>
        <w:t>年</w:t>
      </w:r>
      <w:r>
        <w:rPr>
          <w:rFonts w:hint="eastAsia" w:eastAsia="仿宋"/>
          <w:b/>
          <w:bCs/>
          <w:sz w:val="24"/>
          <w:szCs w:val="24"/>
        </w:rPr>
        <w:t>（2022/06/01-2024/5/31）</w:t>
      </w:r>
      <w:r>
        <w:rPr>
          <w:rFonts w:eastAsia="仿宋"/>
          <w:b/>
          <w:bCs/>
          <w:sz w:val="24"/>
          <w:szCs w:val="24"/>
        </w:rPr>
        <w:t>。</w:t>
      </w:r>
      <w:r>
        <w:rPr>
          <w:rFonts w:eastAsia="仿宋"/>
          <w:sz w:val="24"/>
          <w:szCs w:val="24"/>
        </w:rPr>
        <w:t>研究任务可在本实验室或申请者单位完成。</w:t>
      </w:r>
    </w:p>
    <w:p>
      <w:pPr>
        <w:spacing w:line="360" w:lineRule="auto"/>
        <w:ind w:firstLine="562" w:firstLineChars="200"/>
        <w:rPr>
          <w:rFonts w:eastAsia="仿宋"/>
          <w:b/>
          <w:sz w:val="28"/>
          <w:szCs w:val="28"/>
        </w:rPr>
      </w:pPr>
      <w:r>
        <w:rPr>
          <w:rFonts w:hint="eastAsia" w:eastAsia="仿宋"/>
          <w:b/>
          <w:sz w:val="28"/>
          <w:szCs w:val="28"/>
        </w:rPr>
        <w:t>四</w:t>
      </w:r>
      <w:r>
        <w:rPr>
          <w:rFonts w:eastAsia="仿宋"/>
          <w:b/>
          <w:sz w:val="28"/>
          <w:szCs w:val="28"/>
        </w:rPr>
        <w:t>、基金使用与管理</w:t>
      </w:r>
    </w:p>
    <w:p>
      <w:pPr>
        <w:spacing w:line="360" w:lineRule="auto"/>
        <w:ind w:firstLine="480" w:firstLineChars="200"/>
        <w:rPr>
          <w:rFonts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1. 单项</w:t>
      </w:r>
      <w:r>
        <w:rPr>
          <w:rFonts w:eastAsia="仿宋"/>
          <w:color w:val="000000" w:themeColor="text1"/>
          <w:sz w:val="24"/>
          <w:szCs w:val="24"/>
          <w14:textFill>
            <w14:solidFill>
              <w14:schemeClr w14:val="tx1"/>
            </w14:solidFill>
          </w14:textFill>
        </w:rPr>
        <w:t>项目资助经费5万元</w:t>
      </w:r>
      <w:r>
        <w:rPr>
          <w:rFonts w:hint="eastAsia" w:eastAsia="仿宋"/>
          <w:color w:val="000000" w:themeColor="text1"/>
          <w:sz w:val="24"/>
          <w:szCs w:val="24"/>
          <w14:textFill>
            <w14:solidFill>
              <w14:schemeClr w14:val="tx1"/>
            </w14:solidFill>
          </w14:textFill>
        </w:rPr>
        <w:t>，按课题分别进行核算。</w:t>
      </w:r>
    </w:p>
    <w:p>
      <w:pPr>
        <w:spacing w:line="360" w:lineRule="auto"/>
        <w:ind w:firstLine="480" w:firstLineChars="200"/>
        <w:rPr>
          <w:rFonts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2. 开放课题实行动态管理模式，项目批准后，所批准资助经费总额的40%作为首期经费外拨或用于项目开支。剩余经费将按任务书规定，在本室对项目第一年度的执行情况进行评估后，确定是否继续支持。</w:t>
      </w:r>
    </w:p>
    <w:p>
      <w:pPr>
        <w:spacing w:line="360" w:lineRule="auto"/>
        <w:ind w:firstLine="480" w:firstLineChars="200"/>
        <w:rPr>
          <w:rFonts w:eastAsia="仿宋"/>
          <w:color w:val="000000" w:themeColor="text1"/>
          <w:sz w:val="24"/>
          <w:szCs w:val="24"/>
          <w14:textFill>
            <w14:solidFill>
              <w14:schemeClr w14:val="tx1"/>
            </w14:solidFill>
          </w14:textFill>
        </w:rPr>
      </w:pPr>
      <w:r>
        <w:rPr>
          <w:rFonts w:hint="eastAsia" w:eastAsia="仿宋"/>
          <w:color w:val="000000" w:themeColor="text1"/>
          <w:sz w:val="24"/>
          <w:szCs w:val="24"/>
          <w14:textFill>
            <w14:solidFill>
              <w14:schemeClr w14:val="tx1"/>
            </w14:solidFill>
          </w14:textFill>
        </w:rPr>
        <w:t>3. 项目执行期间，科研成果优秀的，实验室将增补资助经费（总资助经费可达10万元），具体规定参见在项目批准后的任务书条款。</w:t>
      </w:r>
    </w:p>
    <w:p>
      <w:pPr>
        <w:spacing w:line="360" w:lineRule="auto"/>
        <w:ind w:firstLine="480" w:firstLineChars="200"/>
        <w:rPr>
          <w:rFonts w:eastAsia="仿宋"/>
          <w:sz w:val="24"/>
          <w:szCs w:val="24"/>
        </w:rPr>
      </w:pPr>
      <w:r>
        <w:rPr>
          <w:rFonts w:hint="eastAsia" w:eastAsia="仿宋"/>
          <w:sz w:val="24"/>
          <w:szCs w:val="24"/>
        </w:rPr>
        <w:t xml:space="preserve">4. </w:t>
      </w:r>
      <w:r>
        <w:rPr>
          <w:rFonts w:eastAsia="仿宋"/>
          <w:sz w:val="24"/>
          <w:szCs w:val="24"/>
        </w:rPr>
        <w:t>实验室开放课题基金的开支包括以下几方面：</w:t>
      </w:r>
    </w:p>
    <w:p>
      <w:pPr>
        <w:spacing w:line="360" w:lineRule="auto"/>
        <w:ind w:firstLine="480" w:firstLineChars="200"/>
        <w:rPr>
          <w:rFonts w:eastAsia="仿宋"/>
          <w:sz w:val="24"/>
          <w:szCs w:val="24"/>
        </w:rPr>
      </w:pPr>
      <w:r>
        <w:rPr>
          <w:rFonts w:eastAsia="仿宋"/>
          <w:sz w:val="24"/>
          <w:szCs w:val="24"/>
        </w:rPr>
        <w:t>（1）资助和课题有关的科研费用（包括材料费、</w:t>
      </w:r>
      <w:r>
        <w:rPr>
          <w:rFonts w:hint="eastAsia" w:eastAsia="仿宋"/>
          <w:sz w:val="24"/>
          <w:szCs w:val="24"/>
        </w:rPr>
        <w:t>小额仪器</w:t>
      </w:r>
      <w:r>
        <w:rPr>
          <w:rFonts w:eastAsia="仿宋"/>
          <w:sz w:val="24"/>
          <w:szCs w:val="24"/>
        </w:rPr>
        <w:t>设备费、测试费、版面费和资料费等）</w:t>
      </w:r>
      <w:r>
        <w:rPr>
          <w:rFonts w:hint="eastAsia" w:eastAsia="仿宋"/>
          <w:sz w:val="24"/>
          <w:szCs w:val="24"/>
        </w:rPr>
        <w:t>。</w:t>
      </w:r>
    </w:p>
    <w:p>
      <w:pPr>
        <w:spacing w:line="360" w:lineRule="auto"/>
        <w:ind w:firstLine="480" w:firstLineChars="200"/>
        <w:rPr>
          <w:rFonts w:eastAsia="仿宋"/>
          <w:sz w:val="24"/>
          <w:szCs w:val="24"/>
        </w:rPr>
      </w:pPr>
      <w:r>
        <w:rPr>
          <w:rFonts w:eastAsia="仿宋"/>
          <w:sz w:val="24"/>
          <w:szCs w:val="24"/>
        </w:rPr>
        <w:t>（2）学术活动费，</w:t>
      </w:r>
      <w:r>
        <w:rPr>
          <w:rFonts w:hint="eastAsia" w:eastAsia="仿宋"/>
          <w:sz w:val="24"/>
          <w:szCs w:val="24"/>
        </w:rPr>
        <w:t>限于因科研需要参加学术交流或学术会议而产生的往返于项目负责人所在单位与目的地的差旅费，包含住宿费、城市间交通费、会议注册费，建议不超过总资助金额的20%。</w:t>
      </w:r>
    </w:p>
    <w:p>
      <w:pPr>
        <w:spacing w:line="360" w:lineRule="auto"/>
        <w:ind w:firstLine="480" w:firstLineChars="200"/>
        <w:rPr>
          <w:rFonts w:eastAsia="仿宋"/>
          <w:sz w:val="24"/>
          <w:szCs w:val="24"/>
        </w:rPr>
      </w:pPr>
      <w:r>
        <w:rPr>
          <w:rFonts w:eastAsia="仿宋"/>
          <w:sz w:val="24"/>
          <w:szCs w:val="24"/>
        </w:rPr>
        <w:t>（3）劳务费，在项目研究开发过程中支付给参与研究工作的研究生、博士后及项目聘用人员的劳务性费用</w:t>
      </w:r>
      <w:r>
        <w:rPr>
          <w:rFonts w:hint="eastAsia" w:eastAsia="仿宋"/>
          <w:sz w:val="24"/>
          <w:szCs w:val="24"/>
        </w:rPr>
        <w:t>，建议不超过总资助金额的20%。</w:t>
      </w:r>
    </w:p>
    <w:p>
      <w:pPr>
        <w:spacing w:line="360" w:lineRule="auto"/>
        <w:ind w:firstLine="562" w:firstLineChars="200"/>
        <w:rPr>
          <w:rFonts w:eastAsia="仿宋"/>
          <w:b/>
          <w:sz w:val="24"/>
          <w:szCs w:val="24"/>
        </w:rPr>
      </w:pPr>
      <w:r>
        <w:rPr>
          <w:rFonts w:eastAsia="仿宋"/>
          <w:b/>
          <w:sz w:val="28"/>
          <w:szCs w:val="28"/>
        </w:rPr>
        <w:t>四、工作评价及成果管理</w:t>
      </w:r>
    </w:p>
    <w:p>
      <w:pPr>
        <w:spacing w:line="360" w:lineRule="auto"/>
        <w:ind w:firstLine="480" w:firstLineChars="200"/>
        <w:rPr>
          <w:rFonts w:eastAsia="仿宋"/>
          <w:sz w:val="24"/>
          <w:szCs w:val="24"/>
        </w:rPr>
      </w:pPr>
      <w:r>
        <w:rPr>
          <w:rFonts w:eastAsia="仿宋"/>
          <w:sz w:val="24"/>
          <w:szCs w:val="24"/>
        </w:rPr>
        <w:t>1．所有实验室开放课题，必须于每</w:t>
      </w:r>
      <w:r>
        <w:rPr>
          <w:rFonts w:hint="eastAsia" w:eastAsia="仿宋"/>
          <w:sz w:val="24"/>
          <w:szCs w:val="24"/>
        </w:rPr>
        <w:t>一自然年的</w:t>
      </w:r>
      <w:r>
        <w:rPr>
          <w:rFonts w:eastAsia="仿宋"/>
          <w:sz w:val="24"/>
          <w:szCs w:val="24"/>
        </w:rPr>
        <w:t>1</w:t>
      </w:r>
      <w:r>
        <w:rPr>
          <w:rFonts w:hint="eastAsia" w:eastAsia="仿宋"/>
          <w:sz w:val="24"/>
          <w:szCs w:val="24"/>
        </w:rPr>
        <w:t>1</w:t>
      </w:r>
      <w:r>
        <w:rPr>
          <w:rFonts w:eastAsia="仿宋"/>
          <w:sz w:val="24"/>
          <w:szCs w:val="24"/>
        </w:rPr>
        <w:t>月</w:t>
      </w:r>
      <w:r>
        <w:rPr>
          <w:rFonts w:hint="eastAsia" w:eastAsia="仿宋"/>
          <w:sz w:val="24"/>
          <w:szCs w:val="24"/>
        </w:rPr>
        <w:t>15</w:t>
      </w:r>
      <w:r>
        <w:rPr>
          <w:rFonts w:eastAsia="仿宋"/>
          <w:sz w:val="24"/>
          <w:szCs w:val="24"/>
        </w:rPr>
        <w:t>日前提交年度研究工作进展报告，根据课题性质和进展，提交学术论文、研究报告或阶段小结</w:t>
      </w:r>
      <w:r>
        <w:rPr>
          <w:rFonts w:hint="eastAsia" w:eastAsia="仿宋"/>
          <w:sz w:val="24"/>
          <w:szCs w:val="24"/>
        </w:rPr>
        <w:t>；具体递交时间可能因具体实验室工作需要提前进行，本实验室会另行通知。同时于2023年6月15日前递交项目中期报告（统计时间截止2023年5月31日）。</w:t>
      </w:r>
    </w:p>
    <w:p>
      <w:pPr>
        <w:spacing w:line="360" w:lineRule="auto"/>
        <w:ind w:firstLine="480" w:firstLineChars="200"/>
        <w:rPr>
          <w:rFonts w:eastAsia="仿宋"/>
          <w:sz w:val="24"/>
          <w:szCs w:val="24"/>
        </w:rPr>
      </w:pPr>
      <w:r>
        <w:rPr>
          <w:rFonts w:hint="eastAsia" w:eastAsia="仿宋"/>
          <w:sz w:val="24"/>
          <w:szCs w:val="24"/>
        </w:rPr>
        <w:t>2</w:t>
      </w:r>
      <w:r>
        <w:rPr>
          <w:rFonts w:eastAsia="仿宋"/>
          <w:sz w:val="24"/>
          <w:szCs w:val="24"/>
        </w:rPr>
        <w:t>．由实验室主任组织并领导，本实验室根据课题负责人提交的研究工作进展报告审核课题进展及执行情况，一旦发现研究计划或方案出现问题，本实验室有权暂时终止、调整或取消项目及基金资助；</w:t>
      </w:r>
    </w:p>
    <w:p>
      <w:pPr>
        <w:spacing w:line="360" w:lineRule="auto"/>
        <w:ind w:firstLine="480" w:firstLineChars="200"/>
        <w:rPr>
          <w:rFonts w:eastAsia="仿宋"/>
          <w:sz w:val="24"/>
          <w:szCs w:val="24"/>
        </w:rPr>
      </w:pPr>
      <w:r>
        <w:rPr>
          <w:rFonts w:hint="eastAsia" w:eastAsia="仿宋"/>
          <w:sz w:val="24"/>
          <w:szCs w:val="24"/>
        </w:rPr>
        <w:t>3</w:t>
      </w:r>
      <w:r>
        <w:rPr>
          <w:rFonts w:eastAsia="仿宋"/>
          <w:sz w:val="24"/>
          <w:szCs w:val="24"/>
        </w:rPr>
        <w:t>．课题结束或终止，必须向实验室提交如下资料归档：</w:t>
      </w:r>
    </w:p>
    <w:p>
      <w:pPr>
        <w:spacing w:line="360" w:lineRule="auto"/>
        <w:ind w:firstLine="480" w:firstLineChars="200"/>
        <w:rPr>
          <w:rFonts w:eastAsia="仿宋"/>
          <w:sz w:val="24"/>
          <w:szCs w:val="24"/>
        </w:rPr>
      </w:pPr>
      <w:r>
        <w:rPr>
          <w:rFonts w:eastAsia="仿宋"/>
          <w:sz w:val="24"/>
          <w:szCs w:val="24"/>
        </w:rPr>
        <w:t>（1）项目任务书；</w:t>
      </w:r>
    </w:p>
    <w:p>
      <w:pPr>
        <w:spacing w:line="360" w:lineRule="auto"/>
        <w:ind w:firstLine="480" w:firstLineChars="200"/>
        <w:rPr>
          <w:rFonts w:eastAsia="仿宋"/>
          <w:sz w:val="24"/>
          <w:szCs w:val="24"/>
        </w:rPr>
      </w:pPr>
      <w:r>
        <w:rPr>
          <w:rFonts w:eastAsia="仿宋"/>
          <w:sz w:val="24"/>
          <w:szCs w:val="24"/>
        </w:rPr>
        <w:t>（2）项目总结报告；</w:t>
      </w:r>
    </w:p>
    <w:p>
      <w:pPr>
        <w:spacing w:line="360" w:lineRule="auto"/>
        <w:ind w:firstLine="480" w:firstLineChars="200"/>
        <w:rPr>
          <w:rFonts w:eastAsia="仿宋"/>
          <w:sz w:val="24"/>
          <w:szCs w:val="24"/>
        </w:rPr>
      </w:pPr>
      <w:r>
        <w:rPr>
          <w:rFonts w:eastAsia="仿宋"/>
          <w:sz w:val="24"/>
          <w:szCs w:val="24"/>
        </w:rPr>
        <w:t>（3）学术论文、研究报告等科研成果；</w:t>
      </w:r>
    </w:p>
    <w:p>
      <w:pPr>
        <w:spacing w:line="360" w:lineRule="auto"/>
        <w:ind w:firstLine="480" w:firstLineChars="200"/>
        <w:rPr>
          <w:rFonts w:eastAsia="仿宋"/>
          <w:sz w:val="24"/>
          <w:szCs w:val="24"/>
        </w:rPr>
      </w:pPr>
      <w:r>
        <w:rPr>
          <w:rFonts w:eastAsia="仿宋"/>
          <w:sz w:val="24"/>
          <w:szCs w:val="24"/>
        </w:rPr>
        <w:t>5．受到本实验室基金资助的开放课题所取得的科研成果，归研究者</w:t>
      </w:r>
      <w:r>
        <w:rPr>
          <w:rFonts w:hint="eastAsia" w:eastAsia="仿宋"/>
          <w:sz w:val="24"/>
          <w:szCs w:val="24"/>
        </w:rPr>
        <w:t>所在单位</w:t>
      </w:r>
      <w:r>
        <w:rPr>
          <w:rFonts w:eastAsia="仿宋"/>
          <w:sz w:val="24"/>
          <w:szCs w:val="24"/>
        </w:rPr>
        <w:t>及本实验室共有。外籍人员成果按国家有关规定办理。</w:t>
      </w:r>
    </w:p>
    <w:p>
      <w:pPr>
        <w:spacing w:line="360" w:lineRule="auto"/>
        <w:ind w:firstLine="480" w:firstLineChars="200"/>
        <w:rPr>
          <w:rFonts w:eastAsia="仿宋"/>
          <w:b/>
          <w:sz w:val="24"/>
          <w:szCs w:val="24"/>
        </w:rPr>
      </w:pPr>
      <w:r>
        <w:rPr>
          <w:rFonts w:eastAsia="仿宋"/>
          <w:sz w:val="24"/>
          <w:szCs w:val="24"/>
        </w:rPr>
        <w:t>6．开放课题申报成果及发表论文时，按研究者实际工作量确定署名顺序，并必须在成果中注明为本室开放课题项目或受到本室开放课题基金资助。</w:t>
      </w:r>
      <w:r>
        <w:rPr>
          <w:rFonts w:hint="eastAsia" w:eastAsia="仿宋"/>
          <w:sz w:val="24"/>
          <w:szCs w:val="24"/>
        </w:rPr>
        <w:t>同时本室项目合作者须为共同作者，并署名重点实验室单位。建议项目负责人同时署名本重点实验室为署名单位。相关署名方式待签定项目任务书时告知。</w:t>
      </w:r>
    </w:p>
    <w:p>
      <w:pPr>
        <w:spacing w:line="360" w:lineRule="auto"/>
        <w:ind w:firstLine="562" w:firstLineChars="200"/>
        <w:rPr>
          <w:rFonts w:eastAsia="仿宋"/>
          <w:b/>
          <w:sz w:val="28"/>
          <w:szCs w:val="28"/>
        </w:rPr>
      </w:pPr>
      <w:r>
        <w:rPr>
          <w:rFonts w:eastAsia="仿宋"/>
          <w:b/>
          <w:sz w:val="28"/>
          <w:szCs w:val="28"/>
        </w:rPr>
        <w:t>五．申请书邮寄地址及联系方式</w:t>
      </w:r>
    </w:p>
    <w:p>
      <w:pPr>
        <w:spacing w:line="360" w:lineRule="auto"/>
        <w:ind w:firstLine="480" w:firstLineChars="200"/>
        <w:rPr>
          <w:rFonts w:eastAsia="仿宋"/>
          <w:sz w:val="24"/>
          <w:szCs w:val="24"/>
        </w:rPr>
      </w:pPr>
      <w:r>
        <w:rPr>
          <w:rFonts w:eastAsia="仿宋"/>
          <w:sz w:val="24"/>
          <w:szCs w:val="24"/>
        </w:rPr>
        <w:t>联系地址：广西南宁市大学路100号广西大学资源环境与材料学院</w:t>
      </w:r>
      <w:r>
        <w:rPr>
          <w:rFonts w:hint="eastAsia" w:eastAsia="仿宋"/>
          <w:sz w:val="24"/>
          <w:szCs w:val="24"/>
        </w:rPr>
        <w:t>202室</w:t>
      </w:r>
    </w:p>
    <w:p>
      <w:pPr>
        <w:spacing w:line="360" w:lineRule="auto"/>
        <w:ind w:firstLine="480" w:firstLineChars="200"/>
        <w:rPr>
          <w:rFonts w:eastAsia="仿宋"/>
          <w:sz w:val="24"/>
          <w:szCs w:val="24"/>
        </w:rPr>
      </w:pPr>
      <w:r>
        <w:rPr>
          <w:rFonts w:eastAsia="仿宋"/>
          <w:sz w:val="24"/>
          <w:szCs w:val="24"/>
        </w:rPr>
        <w:t>邮编：530004</w:t>
      </w:r>
    </w:p>
    <w:p>
      <w:pPr>
        <w:spacing w:line="360" w:lineRule="auto"/>
        <w:ind w:firstLine="480" w:firstLineChars="200"/>
        <w:rPr>
          <w:rFonts w:eastAsia="仿宋"/>
          <w:sz w:val="24"/>
          <w:szCs w:val="24"/>
        </w:rPr>
      </w:pPr>
      <w:r>
        <w:rPr>
          <w:rFonts w:eastAsia="仿宋"/>
          <w:sz w:val="24"/>
          <w:szCs w:val="24"/>
        </w:rPr>
        <w:t>电话：0771-3810975</w:t>
      </w:r>
    </w:p>
    <w:p>
      <w:pPr>
        <w:spacing w:line="360" w:lineRule="auto"/>
        <w:ind w:firstLine="480" w:firstLineChars="200"/>
        <w:rPr>
          <w:rFonts w:eastAsia="仿宋"/>
          <w:sz w:val="24"/>
          <w:szCs w:val="24"/>
        </w:rPr>
      </w:pPr>
      <w:r>
        <w:rPr>
          <w:rFonts w:eastAsia="仿宋"/>
          <w:sz w:val="24"/>
          <w:szCs w:val="24"/>
        </w:rPr>
        <w:t>联系人：</w:t>
      </w:r>
      <w:r>
        <w:rPr>
          <w:rFonts w:hint="eastAsia" w:eastAsia="仿宋"/>
          <w:sz w:val="24"/>
          <w:szCs w:val="24"/>
        </w:rPr>
        <w:t>朱秋萍</w:t>
      </w:r>
    </w:p>
    <w:p>
      <w:pPr>
        <w:spacing w:line="360" w:lineRule="auto"/>
        <w:ind w:firstLine="480" w:firstLineChars="200"/>
        <w:rPr>
          <w:rFonts w:eastAsia="仿宋"/>
          <w:sz w:val="24"/>
          <w:szCs w:val="24"/>
        </w:rPr>
      </w:pPr>
      <w:r>
        <w:rPr>
          <w:rFonts w:eastAsia="仿宋"/>
          <w:sz w:val="24"/>
          <w:szCs w:val="24"/>
        </w:rPr>
        <w:t>E-mail：</w:t>
      </w:r>
      <w:r>
        <w:rPr>
          <w:rFonts w:hint="eastAsia" w:eastAsia="仿宋"/>
          <w:sz w:val="24"/>
          <w:szCs w:val="24"/>
        </w:rPr>
        <w:t>klmp@gxu.edu.cn</w:t>
      </w:r>
    </w:p>
    <w:p>
      <w:pPr>
        <w:spacing w:line="360" w:lineRule="auto"/>
        <w:rPr>
          <w:rFonts w:eastAsia="仿宋"/>
          <w:b/>
          <w:sz w:val="24"/>
          <w:szCs w:val="24"/>
        </w:rPr>
      </w:pPr>
    </w:p>
    <w:p>
      <w:pPr>
        <w:spacing w:line="360" w:lineRule="auto"/>
        <w:rPr>
          <w:rFonts w:eastAsia="仿宋"/>
          <w:b/>
          <w:sz w:val="24"/>
          <w:szCs w:val="24"/>
        </w:rPr>
      </w:pPr>
    </w:p>
    <w:p>
      <w:pPr>
        <w:spacing w:line="360" w:lineRule="auto"/>
        <w:ind w:firstLine="3092" w:firstLineChars="1100"/>
        <w:rPr>
          <w:rFonts w:eastAsia="仿宋"/>
          <w:b/>
          <w:bCs/>
          <w:sz w:val="28"/>
          <w:szCs w:val="28"/>
        </w:rPr>
      </w:pPr>
      <w:r>
        <w:rPr>
          <w:rFonts w:eastAsia="仿宋"/>
          <w:b/>
          <w:bCs/>
          <w:sz w:val="28"/>
          <w:szCs w:val="28"/>
        </w:rPr>
        <w:t>广西有色金属及特色材料加工重点实验室</w:t>
      </w:r>
    </w:p>
    <w:p>
      <w:pPr>
        <w:spacing w:line="360" w:lineRule="auto"/>
        <w:ind w:firstLine="4498" w:firstLineChars="1600"/>
        <w:rPr>
          <w:rFonts w:eastAsia="仿宋"/>
          <w:b/>
          <w:bCs/>
          <w:sz w:val="28"/>
          <w:szCs w:val="28"/>
        </w:rPr>
      </w:pPr>
      <w:r>
        <w:rPr>
          <w:rFonts w:eastAsia="仿宋"/>
          <w:b/>
          <w:bCs/>
          <w:sz w:val="28"/>
          <w:szCs w:val="28"/>
        </w:rPr>
        <w:t>20</w:t>
      </w:r>
      <w:r>
        <w:rPr>
          <w:rFonts w:hint="eastAsia" w:eastAsia="仿宋"/>
          <w:b/>
          <w:bCs/>
          <w:sz w:val="28"/>
          <w:szCs w:val="28"/>
        </w:rPr>
        <w:t>22</w:t>
      </w:r>
      <w:r>
        <w:rPr>
          <w:rFonts w:eastAsia="仿宋"/>
          <w:b/>
          <w:bCs/>
          <w:sz w:val="28"/>
          <w:szCs w:val="28"/>
        </w:rPr>
        <w:t>年</w:t>
      </w:r>
      <w:r>
        <w:rPr>
          <w:rFonts w:hint="eastAsia" w:eastAsia="仿宋"/>
          <w:b/>
          <w:bCs/>
          <w:sz w:val="28"/>
          <w:szCs w:val="28"/>
        </w:rPr>
        <w:t>4</w:t>
      </w:r>
      <w:r>
        <w:rPr>
          <w:rFonts w:eastAsia="仿宋"/>
          <w:b/>
          <w:bCs/>
          <w:sz w:val="28"/>
          <w:szCs w:val="28"/>
        </w:rPr>
        <w:t>月</w:t>
      </w:r>
      <w:r>
        <w:rPr>
          <w:rFonts w:hint="eastAsia" w:eastAsia="仿宋"/>
          <w:b/>
          <w:bCs/>
          <w:sz w:val="28"/>
          <w:szCs w:val="28"/>
        </w:rPr>
        <w:t>1</w:t>
      </w:r>
      <w:r>
        <w:rPr>
          <w:rFonts w:hint="eastAsia" w:eastAsia="仿宋"/>
          <w:b/>
          <w:bCs/>
          <w:sz w:val="28"/>
          <w:szCs w:val="28"/>
          <w:lang w:val="en-US" w:eastAsia="zh-CN"/>
        </w:rPr>
        <w:t>8</w:t>
      </w:r>
      <w:bookmarkStart w:id="0" w:name="_GoBack"/>
      <w:bookmarkEnd w:id="0"/>
      <w:r>
        <w:rPr>
          <w:rFonts w:eastAsia="仿宋"/>
          <w:b/>
          <w:bCs/>
          <w:sz w:val="28"/>
          <w:szCs w:val="28"/>
        </w:rPr>
        <w:t>日</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97"/>
    <w:rsid w:val="0002112B"/>
    <w:rsid w:val="0003412D"/>
    <w:rsid w:val="00063CD8"/>
    <w:rsid w:val="000D0D70"/>
    <w:rsid w:val="000D70C8"/>
    <w:rsid w:val="00113EA2"/>
    <w:rsid w:val="00157C5E"/>
    <w:rsid w:val="00180846"/>
    <w:rsid w:val="001A76B7"/>
    <w:rsid w:val="001A76ED"/>
    <w:rsid w:val="001B07AC"/>
    <w:rsid w:val="001F4BC7"/>
    <w:rsid w:val="001F4C8B"/>
    <w:rsid w:val="00223941"/>
    <w:rsid w:val="00271C74"/>
    <w:rsid w:val="002C0B99"/>
    <w:rsid w:val="002F3452"/>
    <w:rsid w:val="00340139"/>
    <w:rsid w:val="00361AD3"/>
    <w:rsid w:val="00366F79"/>
    <w:rsid w:val="00372DF8"/>
    <w:rsid w:val="003A024E"/>
    <w:rsid w:val="003A402D"/>
    <w:rsid w:val="003C11A8"/>
    <w:rsid w:val="003C5B78"/>
    <w:rsid w:val="003E4FE6"/>
    <w:rsid w:val="003E79F4"/>
    <w:rsid w:val="004054FD"/>
    <w:rsid w:val="004274E3"/>
    <w:rsid w:val="0043623F"/>
    <w:rsid w:val="00466831"/>
    <w:rsid w:val="004724B2"/>
    <w:rsid w:val="004957D2"/>
    <w:rsid w:val="004E39A9"/>
    <w:rsid w:val="00510A4B"/>
    <w:rsid w:val="00512D2F"/>
    <w:rsid w:val="00571BAF"/>
    <w:rsid w:val="005E5B85"/>
    <w:rsid w:val="006F5658"/>
    <w:rsid w:val="0070501F"/>
    <w:rsid w:val="00707495"/>
    <w:rsid w:val="007322DA"/>
    <w:rsid w:val="0076034D"/>
    <w:rsid w:val="00775A9C"/>
    <w:rsid w:val="00792432"/>
    <w:rsid w:val="007A0CCF"/>
    <w:rsid w:val="007B0F09"/>
    <w:rsid w:val="008130B4"/>
    <w:rsid w:val="008236E5"/>
    <w:rsid w:val="0082648B"/>
    <w:rsid w:val="00833AF9"/>
    <w:rsid w:val="00884BB6"/>
    <w:rsid w:val="008A7FD9"/>
    <w:rsid w:val="008B610B"/>
    <w:rsid w:val="008D5076"/>
    <w:rsid w:val="008E77A2"/>
    <w:rsid w:val="008F36B7"/>
    <w:rsid w:val="00906DD5"/>
    <w:rsid w:val="00940B17"/>
    <w:rsid w:val="00983E72"/>
    <w:rsid w:val="009A356E"/>
    <w:rsid w:val="00A06540"/>
    <w:rsid w:val="00A134B0"/>
    <w:rsid w:val="00A35E67"/>
    <w:rsid w:val="00A367D5"/>
    <w:rsid w:val="00A56AB7"/>
    <w:rsid w:val="00A636BE"/>
    <w:rsid w:val="00A64AB5"/>
    <w:rsid w:val="00A7169F"/>
    <w:rsid w:val="00A96D02"/>
    <w:rsid w:val="00B16B23"/>
    <w:rsid w:val="00BB6525"/>
    <w:rsid w:val="00BE594E"/>
    <w:rsid w:val="00C4292C"/>
    <w:rsid w:val="00C72153"/>
    <w:rsid w:val="00C86D63"/>
    <w:rsid w:val="00C9443B"/>
    <w:rsid w:val="00D57084"/>
    <w:rsid w:val="00D8105C"/>
    <w:rsid w:val="00D81D4C"/>
    <w:rsid w:val="00DC092B"/>
    <w:rsid w:val="00DE2C60"/>
    <w:rsid w:val="00DF2859"/>
    <w:rsid w:val="00E00466"/>
    <w:rsid w:val="00E07383"/>
    <w:rsid w:val="00E34E97"/>
    <w:rsid w:val="00E67745"/>
    <w:rsid w:val="00EB4ED4"/>
    <w:rsid w:val="00EE0C20"/>
    <w:rsid w:val="00EE581B"/>
    <w:rsid w:val="00F10B30"/>
    <w:rsid w:val="00F53DB1"/>
    <w:rsid w:val="00F73A5B"/>
    <w:rsid w:val="00F81976"/>
    <w:rsid w:val="013F1E1D"/>
    <w:rsid w:val="042C6D88"/>
    <w:rsid w:val="10D41DDF"/>
    <w:rsid w:val="122D6699"/>
    <w:rsid w:val="1E9B3479"/>
    <w:rsid w:val="1F3B222D"/>
    <w:rsid w:val="221C0606"/>
    <w:rsid w:val="28E33295"/>
    <w:rsid w:val="2B526D89"/>
    <w:rsid w:val="31DA6F90"/>
    <w:rsid w:val="3453172C"/>
    <w:rsid w:val="36447E94"/>
    <w:rsid w:val="387A6EF5"/>
    <w:rsid w:val="4039236E"/>
    <w:rsid w:val="45480AFF"/>
    <w:rsid w:val="48E3362E"/>
    <w:rsid w:val="49DC0168"/>
    <w:rsid w:val="4DBD2FAB"/>
    <w:rsid w:val="5546468E"/>
    <w:rsid w:val="567A7069"/>
    <w:rsid w:val="5B8E38AF"/>
    <w:rsid w:val="62106CB7"/>
    <w:rsid w:val="62AF2540"/>
    <w:rsid w:val="676B2281"/>
    <w:rsid w:val="682601D8"/>
    <w:rsid w:val="691A40F3"/>
    <w:rsid w:val="6DCF5723"/>
    <w:rsid w:val="6DDE2C12"/>
    <w:rsid w:val="6E41509A"/>
    <w:rsid w:val="77FC5E8D"/>
    <w:rsid w:val="7A9A731F"/>
    <w:rsid w:val="7B166CEC"/>
    <w:rsid w:val="7D383130"/>
    <w:rsid w:val="7DEA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kern w:val="0"/>
      <w:sz w:val="24"/>
    </w:rPr>
  </w:style>
  <w:style w:type="character" w:styleId="8">
    <w:name w:val="Strong"/>
    <w:qFormat/>
    <w:uiPriority w:val="0"/>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99"/>
    <w:rPr>
      <w:rFonts w:ascii="Times New Roman" w:hAnsi="Times New Roman" w:eastAsia="宋体" w:cs="Times New Roman"/>
      <w:kern w:val="2"/>
      <w:sz w:val="18"/>
      <w:szCs w:val="18"/>
    </w:rPr>
  </w:style>
  <w:style w:type="character" w:customStyle="1" w:styleId="12">
    <w:name w:val="页脚 Char"/>
    <w:basedOn w:val="7"/>
    <w:link w:val="3"/>
    <w:qFormat/>
    <w:uiPriority w:val="99"/>
    <w:rPr>
      <w:rFonts w:ascii="Times New Roman" w:hAnsi="Times New Roman" w:eastAsia="宋体" w:cs="Times New Roman"/>
      <w:kern w:val="2"/>
      <w:sz w:val="18"/>
      <w:szCs w:val="18"/>
    </w:rPr>
  </w:style>
  <w:style w:type="character" w:customStyle="1" w:styleId="13">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www.sdgho.com</Company>
  <Pages>4</Pages>
  <Words>2323</Words>
  <Characters>2444</Characters>
  <Lines>17</Lines>
  <Paragraphs>5</Paragraphs>
  <TotalTime>48</TotalTime>
  <ScaleCrop>false</ScaleCrop>
  <LinksUpToDate>false</LinksUpToDate>
  <CharactersWithSpaces>2452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2020-10-28T01:34:00Z</dcterms:created>
  <dc:creator>alao</dc:creator>
  <cp:lastModifiedBy>欧阳悦</cp:lastModifiedBy>
  <cp:lastPrinted>2020-11-13T07:13:00Z</cp:lastPrinted>
  <dcterms:modified xsi:type="dcterms:W3CDTF">2022-04-18T03:41:56Z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eyJoZGlkIjoiMzVlYmE3MWZkNDI0NmE0MjkzOWViYzgyZTU5NGQ1YzIifQ==</vt:lpwstr>
  </property>
  <property fmtid="{D5CDD505-2E9C-101B-9397-08002B2CF9AE}" pid="4" name="ICV">
    <vt:lpwstr>69776C9794984403AA1BBA1B3F284E3D</vt:lpwstr>
  </property>
</Properties>
</file>